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C080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福建东南设计集团有限公司房地产分公司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城发天悦湾项目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2026-2027年度销售部服装采购（二次比选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）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城发天悦湾项目</w:t>
      </w:r>
      <w:r>
        <w:rPr>
          <w:rFonts w:hint="eastAsia"/>
          <w:color w:val="auto"/>
          <w:highlight w:val="none"/>
          <w:u w:val="single"/>
          <w:lang w:val="en-US" w:eastAsia="zh-CN"/>
        </w:rPr>
        <w:t>2026-2027年度销售部服装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（二次比选）</w:t>
      </w:r>
      <w:r>
        <w:rPr>
          <w:rFonts w:hint="eastAsia"/>
          <w:color w:val="auto"/>
          <w:highlight w:val="none"/>
          <w:u w:val="single"/>
          <w:lang w:val="en-US" w:eastAsia="zh-CN"/>
        </w:rPr>
        <w:t>供货</w:t>
      </w:r>
      <w:r>
        <w:rPr>
          <w:rFonts w:hint="eastAsia"/>
          <w:color w:val="auto"/>
          <w:highlight w:val="none"/>
        </w:rPr>
        <w:t>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6465F332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  <w:bookmarkStart w:id="0" w:name="_GoBack"/>
      <w:bookmarkEnd w:id="0"/>
    </w:p>
    <w:p w14:paraId="6766CBAE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5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5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5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5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5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5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0DF88796">
      <w:pPr>
        <w:pStyle w:val="5"/>
        <w:tabs>
          <w:tab w:val="left" w:pos="1000"/>
        </w:tabs>
        <w:spacing w:line="440" w:lineRule="exact"/>
        <w:rPr>
          <w:rFonts w:ascii="宋体"/>
          <w:b/>
          <w:sz w:val="22"/>
        </w:rPr>
      </w:pPr>
      <w:r>
        <w:rPr>
          <w:rFonts w:hint="eastAsia" w:ascii="宋体" w:hAnsi="宋体" w:eastAsia="宋体" w:cs="宋体"/>
          <w:b/>
          <w:szCs w:val="21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营业执照复印件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、</w:t>
      </w:r>
      <w:r>
        <w:rPr>
          <w:rFonts w:hint="eastAsia" w:ascii="宋体" w:hAnsi="宋体" w:eastAsia="宋体" w:cs="宋体"/>
          <w:b/>
          <w:szCs w:val="21"/>
          <w:u w:val="double"/>
        </w:rPr>
        <w:t>法定代表人身份证复印件并加盖单位公章</w:t>
      </w:r>
      <w:r>
        <w:rPr>
          <w:rFonts w:hint="eastAsia" w:ascii="宋体"/>
          <w:b/>
          <w:sz w:val="22"/>
        </w:rPr>
        <w:t>；</w:t>
      </w:r>
    </w:p>
    <w:p w14:paraId="17EFDA81">
      <w:pPr>
        <w:pStyle w:val="5"/>
        <w:tabs>
          <w:tab w:val="left" w:pos="1000"/>
        </w:tabs>
        <w:spacing w:line="440" w:lineRule="exact"/>
        <w:rPr>
          <w:rFonts w:hint="eastAsia" w:ascii="宋体" w:hAnsi="宋体" w:eastAsia="宋体" w:cs="宋体"/>
          <w:b/>
          <w:szCs w:val="21"/>
          <w:u w:val="double"/>
        </w:rPr>
      </w:pPr>
      <w:r>
        <w:rPr>
          <w:rFonts w:hint="eastAsia" w:ascii="宋体" w:hAnsi="宋体" w:eastAsia="宋体" w:cs="宋体"/>
          <w:b/>
          <w:szCs w:val="21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比选申请人及其现任法定代表人未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被列入失信被执行人名单、重大税收违法案件当事人名单及严重失信主体名单</w:t>
      </w:r>
      <w:r>
        <w:rPr>
          <w:rFonts w:hint="eastAsia" w:ascii="宋体" w:hAnsi="宋体" w:eastAsia="宋体" w:cs="宋体"/>
          <w:b/>
          <w:szCs w:val="21"/>
          <w:u w:val="double"/>
        </w:rPr>
        <w:t>的截图证明复印件（查询网址：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begin"/>
      </w:r>
      <w:r>
        <w:rPr>
          <w:rFonts w:hint="eastAsia" w:ascii="宋体" w:hAnsi="宋体" w:eastAsia="宋体" w:cs="宋体"/>
          <w:b/>
          <w:szCs w:val="21"/>
          <w:u w:val="double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separate"/>
      </w:r>
      <w:r>
        <w:rPr>
          <w:rFonts w:hint="eastAsia" w:ascii="宋体" w:hAnsi="宋体" w:eastAsia="宋体" w:cs="宋体"/>
          <w:b/>
          <w:szCs w:val="21"/>
          <w:u w:val="double"/>
        </w:rPr>
        <w:t>www.creditchina.gov.cn），并加盖单位公章</w:t>
      </w:r>
      <w:r>
        <w:rPr>
          <w:rFonts w:hint="eastAsia" w:ascii="宋体" w:hAnsi="宋体" w:eastAsia="宋体" w:cs="宋体"/>
          <w:b/>
          <w:szCs w:val="21"/>
          <w:u w:val="none"/>
        </w:rPr>
        <w:t>；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end"/>
      </w:r>
    </w:p>
    <w:p w14:paraId="7743A424">
      <w:pPr>
        <w:pStyle w:val="5"/>
        <w:tabs>
          <w:tab w:val="left" w:pos="1000"/>
        </w:tabs>
        <w:spacing w:line="440" w:lineRule="exac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3.</w:t>
      </w:r>
      <w:r>
        <w:rPr>
          <w:rFonts w:hint="eastAsia" w:ascii="宋体" w:hAnsi="宋体" w:eastAsia="宋体" w:cs="宋体"/>
          <w:b/>
          <w:szCs w:val="21"/>
          <w:u w:val="double"/>
        </w:rPr>
        <w:t>上述各类证书发生变更的，应办理完变更手续方可参加比选，并以发证机关核准的变更为准；否则为证书无效进行评定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szCs w:val="21"/>
        </w:rPr>
        <w:t>。</w:t>
      </w:r>
    </w:p>
    <w:p w14:paraId="472627F6">
      <w:pPr>
        <w:rPr>
          <w:rFonts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4899FD19">
      <w:pPr>
        <w:pStyle w:val="17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b/>
          <w:bCs/>
          <w:color w:val="auto"/>
          <w:sz w:val="21"/>
          <w:szCs w:val="21"/>
          <w:highlight w:val="none"/>
          <w:u w:val="double"/>
        </w:rPr>
      </w:pP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</w:p>
    <w:p w14:paraId="44754B89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711A674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1-3.样衣及样布评价标准</w:t>
      </w:r>
    </w:p>
    <w:p w14:paraId="3A10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6B82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1.根据提交的服装样品情况（样衣至少选择《附件1清单一览表》序号1-10共10项（序号11领带不参与）其中三件款式），现场打分。</w:t>
      </w:r>
    </w:p>
    <w:p w14:paraId="2F7E8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2.面料材质检查：检查布料是否与清单要求的面料材质、工艺、颜色一致，有无明显色差、杂色。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3.样衣细节工艺：</w:t>
      </w:r>
    </w:p>
    <w:p w14:paraId="45F39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检查对称部位：衣领、袖口、袖长、口袋是否对称，领口是否圆顺、端正。脚边是否有高低不平齐。绱袖圈吃势溶位是否均匀。</w:t>
      </w:r>
    </w:p>
    <w:p w14:paraId="5944E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检查拉链：上下拉是否顺畅，型号是否符合、拉链尾有无胶刺。</w:t>
      </w:r>
    </w:p>
    <w:p w14:paraId="49027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检查四合扣：扣子颜色、大小是否符合、上下扣后是否牢固、松脱、扣子边缘是否锋利。</w:t>
      </w:r>
    </w:p>
    <w:p w14:paraId="23480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检查车缝线:车线颜色、规格、是否掉色。</w:t>
      </w:r>
    </w:p>
    <w:p w14:paraId="0393F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14B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FB5F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435E67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105" w:rightChars="5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（1）中选比选申请人提供的样衣不退还，作为后期验货比对标准。</w:t>
      </w:r>
    </w:p>
    <w:p w14:paraId="66D1B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（2）以上样衣样品均应提供照片并加盖比选申请人单位公章，以保证与提供的实际样衣一致。</w:t>
      </w:r>
    </w:p>
    <w:p w14:paraId="670D4E28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2FE74D4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1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483F0ECA"/>
    <w:multiLevelType w:val="singleLevel"/>
    <w:tmpl w:val="483F0E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20D2F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260D0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983719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CB1C47"/>
    <w:rsid w:val="3ED23E32"/>
    <w:rsid w:val="3ED52753"/>
    <w:rsid w:val="3EE15E23"/>
    <w:rsid w:val="3F1A64DC"/>
    <w:rsid w:val="3F826E18"/>
    <w:rsid w:val="402D47C9"/>
    <w:rsid w:val="404C7FFE"/>
    <w:rsid w:val="40676A47"/>
    <w:rsid w:val="40A105F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7ED5940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9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0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4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5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6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19">
    <w:name w:val="Body Text First Indent"/>
    <w:basedOn w:val="7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20">
    <w:name w:val="Body Text First Indent 2"/>
    <w:basedOn w:val="8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1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0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8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4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1175</Words>
  <Characters>1234</Characters>
  <Lines>16</Lines>
  <Paragraphs>4</Paragraphs>
  <TotalTime>0</TotalTime>
  <ScaleCrop>false</ScaleCrop>
  <LinksUpToDate>false</LinksUpToDate>
  <CharactersWithSpaces>1491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2026-05-15T01:21:04Z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AC1671AA031240CEAD0A6DD0415B16BB_13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